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6A" w:rsidRPr="000D286A" w:rsidRDefault="000D286A" w:rsidP="003658C2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48"/>
        </w:rPr>
        <w:t>Приказ Минздрава России № 125 Н от 21.03.2014</w:t>
      </w:r>
      <w:r w:rsidRPr="000D286A">
        <w:rPr>
          <w:rFonts w:ascii="Tahoma" w:eastAsia="Times New Roman" w:hAnsi="Tahoma" w:cs="Tahoma"/>
          <w:color w:val="091D28"/>
          <w:sz w:val="48"/>
          <w:szCs w:val="48"/>
        </w:rPr>
        <w:t xml:space="preserve"> </w:t>
      </w:r>
    </w:p>
    <w:p w:rsidR="000D286A" w:rsidRPr="000D286A" w:rsidRDefault="000D286A" w:rsidP="003658C2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48"/>
        </w:rPr>
        <w:t xml:space="preserve">«Об утверждении национального календаря </w:t>
      </w:r>
    </w:p>
    <w:p w:rsidR="000D286A" w:rsidRPr="000D286A" w:rsidRDefault="000D286A" w:rsidP="003658C2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48"/>
        </w:rPr>
        <w:t xml:space="preserve">профилактических прививок </w:t>
      </w:r>
    </w:p>
    <w:p w:rsidR="000D286A" w:rsidRPr="000D286A" w:rsidRDefault="000D286A" w:rsidP="003658C2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48"/>
        </w:rPr>
        <w:t xml:space="preserve">и календаря профилактических прививок </w:t>
      </w:r>
    </w:p>
    <w:p w:rsidR="000D286A" w:rsidRPr="000D286A" w:rsidRDefault="000D286A" w:rsidP="003658C2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48"/>
        </w:rPr>
        <w:t>по эпидемическим показаниям»</w:t>
      </w:r>
    </w:p>
    <w:p w:rsidR="003658C2" w:rsidRDefault="003658C2" w:rsidP="000D286A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7"/>
          <w:szCs w:val="27"/>
        </w:rPr>
      </w:pPr>
    </w:p>
    <w:p w:rsidR="000D286A" w:rsidRPr="003658C2" w:rsidRDefault="000D286A" w:rsidP="000D286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color w:val="091D28"/>
          <w:sz w:val="28"/>
          <w:szCs w:val="28"/>
        </w:rPr>
        <w:t>Уважаемые коллеги и родители.</w:t>
      </w:r>
      <w:r w:rsidRPr="003658C2">
        <w:rPr>
          <w:rFonts w:ascii="Tahoma" w:eastAsia="Times New Roman" w:hAnsi="Tahoma" w:cs="Tahoma"/>
          <w:color w:val="091D28"/>
          <w:sz w:val="28"/>
          <w:szCs w:val="28"/>
        </w:rPr>
        <w:br/>
        <w:t xml:space="preserve">25 апреля 2014 Министерством юстиции Российской Федерации под номером 32115 </w:t>
      </w:r>
      <w:proofErr w:type="gramStart"/>
      <w:r w:rsidRPr="003658C2">
        <w:rPr>
          <w:rFonts w:ascii="Tahoma" w:eastAsia="Times New Roman" w:hAnsi="Tahoma" w:cs="Tahoma"/>
          <w:color w:val="091D28"/>
          <w:sz w:val="28"/>
          <w:szCs w:val="28"/>
        </w:rPr>
        <w:t>зарегистрирован</w:t>
      </w:r>
      <w:proofErr w:type="gramEnd"/>
      <w:r w:rsidRPr="003658C2">
        <w:rPr>
          <w:rFonts w:ascii="Tahoma" w:eastAsia="Times New Roman" w:hAnsi="Tahoma" w:cs="Tahoma"/>
          <w:b/>
          <w:bCs/>
          <w:color w:val="091D28"/>
          <w:sz w:val="28"/>
          <w:szCs w:val="28"/>
        </w:rPr>
        <w:t xml:space="preserve"> </w:t>
      </w:r>
    </w:p>
    <w:p w:rsidR="000D286A" w:rsidRPr="003658C2" w:rsidRDefault="000D286A" w:rsidP="000D286A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b/>
          <w:bCs/>
          <w:color w:val="091D28"/>
          <w:sz w:val="28"/>
          <w:szCs w:val="28"/>
        </w:rPr>
        <w:t>Приказ Минздрава России № 125 Н от 21.03.2014</w:t>
      </w:r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 </w:t>
      </w:r>
    </w:p>
    <w:p w:rsidR="000D286A" w:rsidRPr="003658C2" w:rsidRDefault="000D286A" w:rsidP="000D286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b/>
          <w:bCs/>
          <w:color w:val="091D28"/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0D286A" w:rsidRPr="003658C2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1. Выполнение этого приказа может существенно модернизировать </w:t>
      </w:r>
      <w:proofErr w:type="spellStart"/>
      <w:r w:rsidRPr="003658C2">
        <w:rPr>
          <w:rFonts w:ascii="Tahoma" w:eastAsia="Times New Roman" w:hAnsi="Tahoma" w:cs="Tahoma"/>
          <w:color w:val="091D28"/>
          <w:sz w:val="28"/>
          <w:szCs w:val="28"/>
        </w:rPr>
        <w:t>вакцинопрофилактику</w:t>
      </w:r>
      <w:proofErr w:type="spellEnd"/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 в России, поскольку</w:t>
      </w:r>
    </w:p>
    <w:p w:rsidR="000D286A" w:rsidRPr="003658C2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1.1 Введена </w:t>
      </w:r>
      <w:r w:rsidRPr="003658C2">
        <w:rPr>
          <w:rFonts w:ascii="Tahoma" w:eastAsia="Times New Roman" w:hAnsi="Tahoma" w:cs="Tahoma"/>
          <w:color w:val="091D28"/>
          <w:sz w:val="28"/>
          <w:szCs w:val="28"/>
          <w:u w:val="single"/>
        </w:rPr>
        <w:t xml:space="preserve">обязательная вакцинация детей, начиная с 2 </w:t>
      </w:r>
      <w:proofErr w:type="spellStart"/>
      <w:proofErr w:type="gramStart"/>
      <w:r w:rsidRPr="003658C2">
        <w:rPr>
          <w:rFonts w:ascii="Tahoma" w:eastAsia="Times New Roman" w:hAnsi="Tahoma" w:cs="Tahoma"/>
          <w:color w:val="091D28"/>
          <w:sz w:val="28"/>
          <w:szCs w:val="28"/>
          <w:u w:val="single"/>
        </w:rPr>
        <w:t>мес</w:t>
      </w:r>
      <w:proofErr w:type="spellEnd"/>
      <w:proofErr w:type="gramEnd"/>
      <w:r w:rsidRPr="003658C2">
        <w:rPr>
          <w:rFonts w:ascii="Tahoma" w:eastAsia="Times New Roman" w:hAnsi="Tahoma" w:cs="Tahoma"/>
          <w:color w:val="091D28"/>
          <w:sz w:val="28"/>
          <w:szCs w:val="28"/>
          <w:u w:val="single"/>
        </w:rPr>
        <w:t xml:space="preserve"> жизни, против пневмококковой инфекции.</w:t>
      </w:r>
    </w:p>
    <w:p w:rsidR="000D286A" w:rsidRPr="003658C2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color w:val="091D28"/>
          <w:sz w:val="28"/>
          <w:szCs w:val="28"/>
        </w:rPr>
        <w:t>1.2 Расширен список контингентов, подлежащих вакцинации против различных инфекций;</w:t>
      </w:r>
    </w:p>
    <w:p w:rsidR="000D286A" w:rsidRPr="003658C2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color w:val="091D28"/>
          <w:sz w:val="28"/>
          <w:szCs w:val="28"/>
        </w:rPr>
        <w:t>1.3 Расширен список инфекций и список контингентов, подлежащих вакцинации согласно Календарю профилактических прививок по эпидемическим показаниям</w:t>
      </w:r>
      <w:r w:rsidRPr="003658C2">
        <w:rPr>
          <w:rFonts w:ascii="Tahoma" w:eastAsia="Times New Roman" w:hAnsi="Tahoma" w:cs="Tahoma"/>
          <w:b/>
          <w:bCs/>
          <w:color w:val="091D28"/>
          <w:sz w:val="28"/>
          <w:szCs w:val="28"/>
        </w:rPr>
        <w:t xml:space="preserve">. </w:t>
      </w:r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Таким образом, согласно Федеральному закону от 17 сентября 1998 г. N 157-ФЗ "Об иммунопрофилактике инфекционных болезней" (см., например, здесь </w:t>
      </w:r>
      <w:hyperlink r:id="rId6" w:tgtFrame="_blank" w:history="1">
        <w:r w:rsidRPr="003658C2">
          <w:rPr>
            <w:rFonts w:ascii="Tahoma" w:eastAsia="Times New Roman" w:hAnsi="Tahoma" w:cs="Tahoma"/>
            <w:color w:val="091D28"/>
            <w:sz w:val="28"/>
            <w:szCs w:val="28"/>
            <w:u w:val="single"/>
          </w:rPr>
          <w:t>http://base.garant.ru/12113020/3/</w:t>
        </w:r>
      </w:hyperlink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) регионы могут финансировать программы </w:t>
      </w:r>
      <w:proofErr w:type="spellStart"/>
      <w:r w:rsidRPr="003658C2">
        <w:rPr>
          <w:rFonts w:ascii="Tahoma" w:eastAsia="Times New Roman" w:hAnsi="Tahoma" w:cs="Tahoma"/>
          <w:color w:val="091D28"/>
          <w:sz w:val="28"/>
          <w:szCs w:val="28"/>
        </w:rPr>
        <w:t>вакцинопрофилактики</w:t>
      </w:r>
      <w:proofErr w:type="spellEnd"/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 </w:t>
      </w:r>
      <w:proofErr w:type="spellStart"/>
      <w:r w:rsidRPr="003658C2">
        <w:rPr>
          <w:rFonts w:ascii="Tahoma" w:eastAsia="Times New Roman" w:hAnsi="Tahoma" w:cs="Tahoma"/>
          <w:color w:val="091D28"/>
          <w:sz w:val="28"/>
          <w:szCs w:val="28"/>
        </w:rPr>
        <w:t>гемофильной</w:t>
      </w:r>
      <w:proofErr w:type="spellEnd"/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, пневмококковой, </w:t>
      </w:r>
      <w:proofErr w:type="spellStart"/>
      <w:r w:rsidRPr="003658C2">
        <w:rPr>
          <w:rFonts w:ascii="Tahoma" w:eastAsia="Times New Roman" w:hAnsi="Tahoma" w:cs="Tahoma"/>
          <w:color w:val="091D28"/>
          <w:sz w:val="28"/>
          <w:szCs w:val="28"/>
        </w:rPr>
        <w:t>ротавирусной</w:t>
      </w:r>
      <w:proofErr w:type="spellEnd"/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 инфекций, ветряной оспы.</w:t>
      </w:r>
    </w:p>
    <w:p w:rsidR="000D286A" w:rsidRPr="003658C2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8"/>
          <w:szCs w:val="28"/>
        </w:rPr>
      </w:pPr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2. </w:t>
      </w:r>
      <w:r w:rsidRPr="003658C2">
        <w:rPr>
          <w:rFonts w:ascii="Tahoma" w:eastAsia="Times New Roman" w:hAnsi="Tahoma" w:cs="Tahoma"/>
          <w:b/>
          <w:bCs/>
          <w:color w:val="091D28"/>
          <w:sz w:val="28"/>
          <w:szCs w:val="28"/>
        </w:rPr>
        <w:t>Новое в</w:t>
      </w:r>
      <w:r w:rsidRPr="003658C2">
        <w:rPr>
          <w:rFonts w:ascii="Tahoma" w:eastAsia="Times New Roman" w:hAnsi="Tahoma" w:cs="Tahoma"/>
          <w:color w:val="091D28"/>
          <w:sz w:val="28"/>
          <w:szCs w:val="28"/>
        </w:rPr>
        <w:t xml:space="preserve"> </w:t>
      </w:r>
      <w:r w:rsidRPr="003658C2">
        <w:rPr>
          <w:rFonts w:ascii="Tahoma" w:eastAsia="Times New Roman" w:hAnsi="Tahoma" w:cs="Tahoma"/>
          <w:b/>
          <w:bCs/>
          <w:color w:val="091D28"/>
          <w:sz w:val="28"/>
          <w:szCs w:val="28"/>
        </w:rPr>
        <w:t xml:space="preserve">НАЦИОНАЛЬНОМ КАЛЕНДАРЕ 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2.1 вакцинация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пневмококковой инфекции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: V1, 2 </w:t>
      </w:r>
      <w:proofErr w:type="spellStart"/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мес</w:t>
      </w:r>
      <w:proofErr w:type="spellEnd"/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, V2 4,5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мес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>, RV 15 мес.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2.2 вакцинация от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гриппа: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введены новые контингенты подлежащих вакцинации, а именно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>- беременные женщины,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lastRenderedPageBreak/>
        <w:t>-лица, подлежащие призыву на военную службу,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 xml:space="preserve">- лица с хроническими заболеваниями, в том числе с заболеваниями легких, </w:t>
      </w:r>
      <w:proofErr w:type="spellStart"/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>сердечно-сосудистой</w:t>
      </w:r>
      <w:proofErr w:type="spellEnd"/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 xml:space="preserve"> системы, метаболическими нарушениями и ожирением 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2.3 в разделе «Порядок проведения гражданам профилактических прививок в рамках национального календаря профилактических прививок» дополнительно указано (пункт 7) , что детям, которым вакцинация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  <w:u w:val="single"/>
        </w:rPr>
        <w:t>пневмококковой инфекции</w:t>
      </w: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 xml:space="preserve"> не была проведена 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>в первые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 xml:space="preserve"> 6 месяцев жизни, вакцинация проводится двукратно с интервалом не менее 2 месяцев между прививками.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См. в данном разделе также пункт 13 об использовании вакцин, содержащих «актуальные для Российской Федерации антигены, позволяющие обеспечить максимальную эффективность иммунизации».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3.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Новое в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КАЛЕНДАРЕ ПРОФИЛАКТИЧЕСКИХ ПРИВИВОК ПО ЭПИДЕМИЧЕСКИМ ПОКАЗАНИЯМ (приложение № 2 к Приказу)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3.1 новые контингенты подлежащих вакцинации (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см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>. стр. 4):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-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вирусного гепатита</w:t>
      </w:r>
      <w:proofErr w:type="gramStart"/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 xml:space="preserve"> А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– «лица, </w:t>
      </w: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>проживающие в регионах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>, неблагоприятных по гепатиту А» и «лица, выезжающие в страны (</w:t>
      </w: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>регионы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>), неблагополучные по гепатиту А».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-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 xml:space="preserve">менингококковой 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>инфекции – лица, подлежащие призыву на военную службу.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3.2 вакцинация против новых инфекций (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см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>. стр. 5):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- против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 xml:space="preserve"> пневмококковой 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>инфекции – дети в возрасте от 2 до 5 лет, взрослые из групп риска, в том числе подлежащие призыву на военную службу</w:t>
      </w: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>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- против </w:t>
      </w:r>
      <w:proofErr w:type="spellStart"/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ротавирусной</w:t>
      </w:r>
      <w:proofErr w:type="spellEnd"/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 xml:space="preserve"> 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инфекции - дети, для активной вакцинации с целью профилактики заболеваний, вызываемых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ротавирусами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>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-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ветряной оспы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-  дети и взрослые из групп риска, в том числе подлежащие призыву на военную службу, ранее не привитые и не болевшие ветряной оспой.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- против </w:t>
      </w:r>
      <w:proofErr w:type="spellStart"/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гемофильной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инфекции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– дети, не привитые на первом году жизни от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гемофильной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инфекции.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 xml:space="preserve">Таким 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>образом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 xml:space="preserve"> </w:t>
      </w:r>
      <w:r w:rsidRPr="000D286A">
        <w:rPr>
          <w:rFonts w:ascii="Tahoma" w:eastAsia="Times New Roman" w:hAnsi="Tahoma" w:cs="Tahoma"/>
          <w:b/>
          <w:bCs/>
          <w:color w:val="091D28"/>
          <w:sz w:val="27"/>
          <w:u w:val="single"/>
        </w:rPr>
        <w:t>призывников</w:t>
      </w:r>
      <w:r w:rsidRPr="000D286A">
        <w:rPr>
          <w:rFonts w:ascii="Tahoma" w:eastAsia="Times New Roman" w:hAnsi="Tahoma" w:cs="Tahoma"/>
          <w:color w:val="091D28"/>
          <w:sz w:val="27"/>
          <w:szCs w:val="27"/>
          <w:u w:val="single"/>
        </w:rPr>
        <w:t xml:space="preserve"> необходимо вакцинировать следующими прививками: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1-    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менингококковой инфекции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2-    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пневмококковой инфекции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3-    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ветряной оспы</w:t>
      </w:r>
    </w:p>
    <w:p w:rsidR="003658C2" w:rsidRPr="003658C2" w:rsidRDefault="000D286A" w:rsidP="003658C2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4-     против 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гриппа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lastRenderedPageBreak/>
        <w:t>МИНИСТЕРСТВО ЗДРАВООХРАНЕНИЯ РОССИЙСКОЙ ФЕДЕРАЦИИ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ПРИКАЗ № 125н 21 марта 2014г.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В соответствии со статьями 9 и 10 Федерального закона от 17 сентября 1998 г. № 157-ФЗ «Об иммунопрофилактике инфекционных болезней» (Собрание законодательства Российской Федерации, 1998, № 38, ст. 4736; 2000, № 33, ст. 3348; 2003, № 2, ст. 167; 2004, № 35, ст. 3607; 2005, № 1, ст. 25; 2006, № 27, ст. 2879; 2007, № 43, ст. 5084;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№ 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49, ст. 6070; 2008, № 30, ст. 3616; № 52, ст. 6236; 2009, № 1, ст. 21; № 30, ст. 3739; 2010, № 50, ст. 6599; 2011, № 30, ст. 4590; 2012, № 53, ст. 7589; 2013, № 19, ст. 2331; №27, ст. 3477; №48 ст. 6165;№ 51, ст. 6688) приказываю: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Утвердить: национальный календарь профилактических прививок согласно приложению</w:t>
      </w: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B047EA" w:rsidRPr="003658C2" w:rsidRDefault="000D286A" w:rsidP="003658C2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lastRenderedPageBreak/>
        <w:t xml:space="preserve">Приложение № 1 к приказу Министерства здравоохранения Российской Федерации № 125н от 21.03.14 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Национальный календарь профилактических прививок</w:t>
      </w:r>
    </w:p>
    <w:tbl>
      <w:tblPr>
        <w:tblW w:w="11708" w:type="dxa"/>
        <w:jc w:val="center"/>
        <w:tblCellSpacing w:w="15" w:type="dxa"/>
        <w:tblInd w:w="122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2"/>
        <w:gridCol w:w="6576"/>
      </w:tblGrid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профилактической прививки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Новорожденные </w:t>
            </w:r>
            <w:proofErr w:type="gramStart"/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часа жизни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вирусного </w:t>
            </w: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гепатита В</w:t>
            </w:r>
            <w:proofErr w:type="gramStart"/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Новорожденные на 3-7 день жизни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Вакцинация против </w:t>
            </w: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туберкулеза</w:t>
            </w:r>
            <w:proofErr w:type="gramStart"/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 месяц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вакцинация против вирусного </w:t>
            </w: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гепатита В</w:t>
            </w:r>
            <w:proofErr w:type="gramStart"/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2 месяца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вакцинация против вирусного гепатита</w:t>
            </w:r>
            <w:proofErr w:type="gramStart"/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(группы риска)</w:t>
            </w: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3658C2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пневмококковой инфекции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3 месяца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дифтерии, коклюша, столбняка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3658C2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полиомиелита</w:t>
            </w:r>
            <w:proofErr w:type="gramStart"/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5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3658C2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3658C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гемофильной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инфекции </w:t>
            </w: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</w:rPr>
              <w:t>(группы риска)</w:t>
            </w:r>
            <w:r w:rsidRPr="003658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0D286A" w:rsidRPr="003658C2" w:rsidRDefault="000D286A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>1-    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В</w:t>
      </w:r>
      <w:proofErr w:type="gram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которых проводится по схеме 0-1-2-12 (1 доза - в момент начала вакцинации, 2 доза — через месяц после 1 прививки, 2 доза - через 2 месяца от начала вакцинации, 3 доза — через 12 месяцев от начала вакцинации).</w:t>
      </w:r>
    </w:p>
    <w:p w:rsidR="000D286A" w:rsidRPr="003658C2" w:rsidRDefault="000D286A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>2-    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— вакциной для профилактики туберкулеза (БЦЖ).</w:t>
      </w:r>
    </w:p>
    <w:p w:rsidR="000D286A" w:rsidRPr="003658C2" w:rsidRDefault="000D286A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3-     Вакцинация проводится детям, относящимся к группам риска (родившимся от матерей носителей </w:t>
      </w:r>
      <w:proofErr w:type="spell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>HBsAg</w:t>
      </w:r>
      <w:proofErr w:type="spell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>, больных вирусным гепатитом</w:t>
      </w:r>
      <w:proofErr w:type="gram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В</w:t>
      </w:r>
      <w:proofErr w:type="gram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или перенесших вирусный гепатит В </w:t>
      </w:r>
      <w:proofErr w:type="spell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>в</w:t>
      </w:r>
      <w:proofErr w:type="spell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>HBsAg</w:t>
      </w:r>
      <w:proofErr w:type="spell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или больной острым вирусным гепатитом В и хроническими вирусными гепатитами).</w:t>
      </w:r>
    </w:p>
    <w:p w:rsidR="000D286A" w:rsidRPr="003658C2" w:rsidRDefault="000D286A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>4-     Первая и вторая вакцинации проводятся вакциной для профилактики полиомиелита (инактивированной).</w:t>
      </w:r>
    </w:p>
    <w:p w:rsidR="000D286A" w:rsidRDefault="000D286A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5-     Вакцинация проводится детям, относящимся к группам риска (с </w:t>
      </w:r>
      <w:proofErr w:type="spell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>иммунодефицитными</w:t>
      </w:r>
      <w:proofErr w:type="spell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>гемофильной</w:t>
      </w:r>
      <w:proofErr w:type="spell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инфекцией; с </w:t>
      </w:r>
      <w:proofErr w:type="spell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>онкогематологическими</w:t>
      </w:r>
      <w:proofErr w:type="spell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заболеваниями и/или длительно получающим </w:t>
      </w:r>
      <w:proofErr w:type="spell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>иммуносупрессивную</w:t>
      </w:r>
      <w:proofErr w:type="spell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984EE6" w:rsidRPr="000D286A" w:rsidRDefault="00984EE6" w:rsidP="00984EE6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91"/>
        <w:gridCol w:w="7521"/>
      </w:tblGrid>
      <w:tr w:rsidR="000D286A" w:rsidRPr="000D286A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lastRenderedPageBreak/>
              <w:t>Категории и возраст граждан, подлежащих обязательной вакцинации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Наименование профилактической прививки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4,5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Вторая 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дифтерии, коклюша, столбняка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Вторая вакцинация против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гемофильной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инфекции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(группы риска)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5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Вторая вакцинация против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полиомиелита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4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Вторая 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  <w:t>пневмококковой инфекции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6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Третья 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дифтерии, коклюша, столбняка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Третья вакцинация против вирусного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гепатита В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1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Третья 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полиомиелита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6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Третья вакцинация против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гемофильной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инфекции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(группа риска)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5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12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кори, краснухи, эпидемического паротита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Четвертая вакцинация против вирусного гепатита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</w:t>
            </w:r>
            <w:proofErr w:type="gram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(группы риска)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15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  <w:t>пневмококковой инфекции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18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Первая 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полиомиелита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6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Первая 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дифтерии, коклюша, столбняка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Ревакцинация против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гемофильной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инфекции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(группы риска)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20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Вторая ревакцинация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против полиомиелита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6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6 лет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кори, краснухи, эпидемического паротита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6-7 лет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Вторая 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дифтерии, столбняка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7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туберкулеза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8</w:t>
            </w:r>
          </w:p>
        </w:tc>
      </w:tr>
    </w:tbl>
    <w:p w:rsidR="003658C2" w:rsidRDefault="003658C2" w:rsidP="003658C2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0D286A" w:rsidRPr="003658C2" w:rsidRDefault="000D286A" w:rsidP="003658C2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>6-    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0D286A" w:rsidRPr="003658C2" w:rsidRDefault="000D286A" w:rsidP="003658C2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>7-     Вторая ревакцинация проводится анатоксинами с уменьшенным содержанием антигенов.</w:t>
      </w:r>
    </w:p>
    <w:p w:rsidR="000D286A" w:rsidRPr="003658C2" w:rsidRDefault="000D286A" w:rsidP="003658C2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>8-     Ревакцинация проводится вакциной для профилактики туберкулеза (БЦЖ).</w:t>
      </w:r>
    </w:p>
    <w:p w:rsidR="000D286A" w:rsidRDefault="000D286A" w:rsidP="003658C2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3658C2">
        <w:rPr>
          <w:rFonts w:ascii="Tahoma" w:eastAsia="Times New Roman" w:hAnsi="Tahoma" w:cs="Tahoma"/>
          <w:color w:val="091D28"/>
          <w:sz w:val="20"/>
          <w:szCs w:val="20"/>
        </w:rPr>
        <w:t>9-     Вакцинация проводится детям и взрослым, ранее не привитым против вирусного гепатита</w:t>
      </w:r>
      <w:proofErr w:type="gramStart"/>
      <w:r w:rsidRPr="003658C2">
        <w:rPr>
          <w:rFonts w:ascii="Tahoma" w:eastAsia="Times New Roman" w:hAnsi="Tahoma" w:cs="Tahoma"/>
          <w:color w:val="091D28"/>
          <w:sz w:val="20"/>
          <w:szCs w:val="20"/>
        </w:rPr>
        <w:t xml:space="preserve"> В</w:t>
      </w:r>
      <w:proofErr w:type="gramEnd"/>
      <w:r w:rsidRPr="003658C2">
        <w:rPr>
          <w:rFonts w:ascii="Tahoma" w:eastAsia="Times New Roman" w:hAnsi="Tahoma" w:cs="Tahoma"/>
          <w:color w:val="091D28"/>
          <w:sz w:val="20"/>
          <w:szCs w:val="20"/>
        </w:rPr>
        <w:t>, по схеме 0-1-6 (1 доза -</w:t>
      </w:r>
      <w:r w:rsidR="00984EE6">
        <w:rPr>
          <w:rFonts w:ascii="Tahoma" w:eastAsia="Times New Roman" w:hAnsi="Tahoma" w:cs="Tahoma"/>
          <w:color w:val="091D28"/>
          <w:sz w:val="20"/>
          <w:szCs w:val="20"/>
        </w:rPr>
        <w:t xml:space="preserve"> </w:t>
      </w:r>
      <w:r w:rsidRPr="003658C2">
        <w:rPr>
          <w:rFonts w:ascii="Tahoma" w:eastAsia="Times New Roman" w:hAnsi="Tahoma" w:cs="Tahoma"/>
          <w:color w:val="091D28"/>
          <w:sz w:val="20"/>
          <w:szCs w:val="20"/>
        </w:rPr>
        <w:t>момент начала вакцинации, 2 доза - через месяц после 1 прививки, 3 доза - через 6 месяцев от начала вакцинации). Интервал между первой и второй прививками должен составлять не менее 3 месяцев.</w:t>
      </w:r>
    </w:p>
    <w:p w:rsidR="003658C2" w:rsidRDefault="003658C2" w:rsidP="003658C2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p w:rsidR="003658C2" w:rsidRPr="003658C2" w:rsidRDefault="003658C2" w:rsidP="003658C2">
      <w:pPr>
        <w:spacing w:after="0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02"/>
        <w:gridCol w:w="5010"/>
      </w:tblGrid>
      <w:tr w:rsidR="000D286A" w:rsidRPr="000D286A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lastRenderedPageBreak/>
              <w:t>Категории и возраст граждан, подлежащих обязательной вакцинации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Наименование профилактической прививки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2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14 лет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Третья 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дифтерии, столбняка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7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6A" w:rsidRPr="000D286A" w:rsidRDefault="000D286A" w:rsidP="000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Третья ревакцинация против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полиомиелита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6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Взрослые от 18 лет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дифтерии, столбняка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каждые 10 лет от момента последней ревакцинации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от 1 года до 18 лет, взрослые от 18 до 55 лет, не привитые ранее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Вакцинация против вирусного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гепатита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В</w:t>
            </w:r>
            <w:proofErr w:type="gramEnd"/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краснухи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кори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  <w:vertAlign w:val="superscript"/>
              </w:rPr>
              <w:t>10</w:t>
            </w:r>
          </w:p>
        </w:tc>
      </w:tr>
      <w:tr w:rsidR="000D286A" w:rsidRPr="000D286A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лица с хроническими заболеваниями, в том числе с заболеваниями легких,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сердечно-сосудистыми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Вакцинация 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гриппа</w:t>
            </w:r>
          </w:p>
        </w:tc>
      </w:tr>
    </w:tbl>
    <w:p w:rsidR="003658C2" w:rsidRDefault="003658C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0D286A" w:rsidRPr="000D286A" w:rsidRDefault="000D286A" w:rsidP="003658C2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lastRenderedPageBreak/>
        <w:t>Порядок проведения гражданам профилактических прививок</w:t>
      </w:r>
    </w:p>
    <w:p w:rsidR="000D286A" w:rsidRPr="000D286A" w:rsidRDefault="000D286A" w:rsidP="003658C2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 в рамках национального календаря профилактических прививок.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Вакцинацию осуществляют медицинские работники, прошедшие 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обучение по вопросам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поствакцинальные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№ 323-ФЭ «Об основах охраны здоровья граждан в Российской Федерации»</w:t>
      </w:r>
      <w:r w:rsidRPr="000D286A">
        <w:rPr>
          <w:rFonts w:ascii="Tahoma" w:eastAsia="Times New Roman" w:hAnsi="Tahoma" w:cs="Tahoma"/>
          <w:color w:val="091D28"/>
          <w:sz w:val="27"/>
          <w:szCs w:val="27"/>
          <w:vertAlign w:val="superscript"/>
        </w:rPr>
        <w:t>11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  <w:vertAlign w:val="superscript"/>
        </w:rPr>
        <w:t xml:space="preserve"> (</w:t>
      </w:r>
      <w:proofErr w:type="gramStart"/>
      <w:r w:rsidRPr="000D286A">
        <w:rPr>
          <w:rFonts w:ascii="Tahoma" w:eastAsia="Times New Roman" w:hAnsi="Tahoma" w:cs="Tahoma"/>
          <w:b/>
          <w:bCs/>
          <w:color w:val="091D28"/>
          <w:sz w:val="27"/>
          <w:vertAlign w:val="superscript"/>
        </w:rPr>
        <w:t>11Собрание законодательства Российской Федерации, 2012, № 26, ст. 3442; № 26, ст. 3446; 2013, № 27, ст. 3459; № 27, ст. 3477; № 30, ст. 4038; № 39, ст. 4883; № 48, ст. 6165; № 52, ст. 6951)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>.</w:t>
      </w:r>
      <w:proofErr w:type="gramEnd"/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Все лица, которым должны проводиться профилактические прививки, предварительно подвергаются осмотру врачом (фельдшером)</w:t>
      </w:r>
      <w:r w:rsidRPr="000D286A">
        <w:rPr>
          <w:rFonts w:ascii="Tahoma" w:eastAsia="Times New Roman" w:hAnsi="Tahoma" w:cs="Tahoma"/>
          <w:color w:val="091D28"/>
          <w:sz w:val="27"/>
          <w:szCs w:val="27"/>
          <w:vertAlign w:val="superscript"/>
        </w:rPr>
        <w:t>12</w:t>
      </w: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  (</w:t>
      </w:r>
      <w:r w:rsidRPr="000D286A">
        <w:rPr>
          <w:rFonts w:ascii="Tahoma" w:eastAsia="Times New Roman" w:hAnsi="Tahoma" w:cs="Tahoma"/>
          <w:b/>
          <w:bCs/>
          <w:color w:val="091D28"/>
          <w:sz w:val="27"/>
          <w:vertAlign w:val="superscript"/>
        </w:rPr>
        <w:t>Приказ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</w:r>
      <w:proofErr w:type="gramEnd"/>
      <w:r w:rsidRPr="000D286A">
        <w:rPr>
          <w:rFonts w:ascii="Tahoma" w:eastAsia="Times New Roman" w:hAnsi="Tahoma" w:cs="Tahoma"/>
          <w:b/>
          <w:bCs/>
          <w:color w:val="091D28"/>
          <w:sz w:val="27"/>
          <w:vertAlign w:val="superscript"/>
        </w:rPr>
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номер № 23971))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>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Вакцинация детей, которым иммунопрофилактика против пневмококковой инфекции не была начата 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в первые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6 месяцев жизни, проводится двукратно с интервалом между прививками не менее 2 месяцев.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lastRenderedPageBreak/>
        <w:t>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Ревакцинация детей против туберкулеза, рожденных от матерей с ВИЧ-инфекцией и получавших 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трехэтапную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химиопрофилактику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передачи ВИЧ от матери ребенку (во время беременности, родов и в периоде новорожденное™),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Анатоксины, убитые и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рекомбинантные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0D286A" w:rsidRPr="000D286A" w:rsidRDefault="000D286A" w:rsidP="000D286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При проведении вакцинации против гепатита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В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96912" w:rsidRDefault="0039691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658C2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0D286A" w:rsidRPr="000D286A" w:rsidRDefault="003658C2" w:rsidP="000D286A">
      <w:pPr>
        <w:spacing w:before="100" w:beforeAutospacing="1" w:after="100" w:afterAutospacing="1" w:line="300" w:lineRule="atLeast"/>
        <w:jc w:val="right"/>
        <w:rPr>
          <w:rFonts w:ascii="Tahoma" w:eastAsia="Times New Roman" w:hAnsi="Tahoma" w:cs="Tahoma"/>
          <w:color w:val="091D28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91D28"/>
          <w:sz w:val="27"/>
        </w:rPr>
        <w:lastRenderedPageBreak/>
        <w:t>П</w:t>
      </w:r>
      <w:r w:rsidR="000D286A" w:rsidRPr="000D286A">
        <w:rPr>
          <w:rFonts w:ascii="Tahoma" w:eastAsia="Times New Roman" w:hAnsi="Tahoma" w:cs="Tahoma"/>
          <w:b/>
          <w:bCs/>
          <w:color w:val="091D28"/>
          <w:sz w:val="27"/>
        </w:rPr>
        <w:t xml:space="preserve">риложение № 1 к приказу Министерства здравоохранения Российской Федерации 125н от 21.03.14 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Календарь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профилактических прививок по эпидемическим показаниям</w:t>
      </w:r>
    </w:p>
    <w:tbl>
      <w:tblPr>
        <w:tblW w:w="1113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04"/>
        <w:gridCol w:w="7126"/>
      </w:tblGrid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Наименование профилактической прививки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Категории граждан, подлежащих обязательной вакцинации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вирусного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гепатита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А</w:t>
            </w:r>
            <w:proofErr w:type="gramEnd"/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912" w:rsidRDefault="000D286A" w:rsidP="003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0D286A" w:rsidRPr="000D286A" w:rsidRDefault="000D286A" w:rsidP="003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Лица, выезжающие в неблагополучные страны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вирусного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гепатита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В</w:t>
            </w:r>
            <w:proofErr w:type="gramEnd"/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полиомиелита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диким</w:t>
            </w:r>
            <w:proofErr w:type="gram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полиовирусом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(или при подозрении на заболевание):</w:t>
            </w:r>
          </w:p>
          <w:p w:rsidR="000D286A" w:rsidRPr="000D286A" w:rsidRDefault="000D286A" w:rsidP="003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 дети с 3 месяцев до 18 лет - однократно;</w:t>
            </w:r>
          </w:p>
          <w:p w:rsidR="000D286A" w:rsidRPr="000D286A" w:rsidRDefault="000D286A" w:rsidP="003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 медицинские работники - однократно;</w:t>
            </w:r>
          </w:p>
          <w:p w:rsidR="000D286A" w:rsidRPr="000D286A" w:rsidRDefault="000D286A" w:rsidP="003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  дети, прибывшие из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эндемичных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неблагополучных</w:t>
            </w:r>
            <w:proofErr w:type="gram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по полиомиелиту стран (регионов), с 3 месяцев до 15 лет - однократно (при наличии достоверных данных о предшествующих прививках) или трёхкратно (при их отсутствии);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 лица без определённого места жительства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(при их выявлении) с 3 месяцев до 15 лет - однократно (при наличии достоверных данных о предшествующих прививках) или трёхкратно (при их отсутствии); лица, контактировавшие с </w:t>
            </w: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прибывшими</w:t>
            </w:r>
            <w:proofErr w:type="gram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из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эндемичных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(неблагополучных) по полиомиелиту стран (регионов), с 3 месяцев жизни без ограничения возраста - однократно; лица, работающие с живым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полиовирусом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пневмококковой инфекции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ротавирусной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инфекции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ротавирусами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ветряной оспы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гемофильной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инфекции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Дети, не привитые на первом году жизни против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гемофильной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инфекции.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кори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эпидемического паротита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дифтерии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менингококковой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инфекции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серогрупп</w:t>
            </w:r>
            <w:proofErr w:type="spellEnd"/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С. Вакцинация проводится 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эндемичных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серогрупп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 или С.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подлежащие призыву на военную службу.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</w:t>
            </w:r>
            <w:r w:rsidRPr="000D286A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клещевого вирусного энцефалита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Лица, проживающие на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эндемичных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эндемичные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                  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дератизационные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дезинсекционные;</w:t>
            </w:r>
            <w:proofErr w:type="gramEnd"/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по лесозаготовке, расчистке и благоустройству леса, зон оздоровления и отдыха населения.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работающие с живыми культурами возбудителя клещевого энцефалита.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Против туляремии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                  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дератизационные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дезинсекционные;</w:t>
            </w:r>
            <w:proofErr w:type="gramEnd"/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по лесозаготовке, расчистке и благоустройству леса, зон оздоровления и отдыха населения.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работающие с живыми культурами возбудителя туляремии.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 чумы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 бешенства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С профилактической целью вакцинируют лиц, имеющих высокий риск заражения бешенством: лица, работающее с «уличным» вирусом бешенства; ветеринарные работники; егеря, охотники, лесники; лица, выполняющие работы по отлову и содержанию животных.</w:t>
            </w:r>
            <w:proofErr w:type="gramEnd"/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Против лихорадки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Ку</w:t>
            </w:r>
            <w:proofErr w:type="spellEnd"/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Ку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Ку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Лица, работающие с живыми культурами возбудителей лихорадки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Ку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 бруцеллёза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В очагах козье-овечьего типа бруцеллёза лица, выполняющие следующие работы: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по заготовке, хранению, обработке сырья и продуктов животноводства, полученных из хозяйств, где регистрируются заболевания скота бруцеллёзом;</w:t>
            </w:r>
          </w:p>
          <w:p w:rsidR="00396912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по убою скота, больного бруцеллёзом, заготовке</w:t>
            </w:r>
            <w:r w:rsidR="0039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и переработке полученных от него мяса и мясопродуктов. Животноводы, ветеринарные работники, зоотехники в хозяйствах, энзоотичных по бруцеллёзу.</w:t>
            </w:r>
            <w:r w:rsidR="0039691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работающие с живыми культурами возбудителя бруцеллёза.</w:t>
            </w:r>
          </w:p>
          <w:p w:rsidR="00396912" w:rsidRPr="00396912" w:rsidRDefault="00396912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Против жёлтой лихорадки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выезжающие за пределы Российской Федерации в энзоотичные по жёлтой лихорадке страны (регионы). Лица, работающие с живыми культурами возбудителя жёлтой лихорадки.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 сибирской язвы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выполняющие следующие работы: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                  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зооветработники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другие лица, профессионально занятые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предубойным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содержанием скота, а также убоем, снятием шкур и разделкой туш;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сбор, хранение, транспортировка и первичная обработка сырья животного происхождения;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 лептоспироза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выполняющие следующие работы: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-                   по отлову и содержанию безнадзорных животных.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работающие с живыми культурами возбудителя лептоспироза.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 холеры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выезжающие в неблагополучные по холере страны (регионы).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 брюшного тифа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Лица, занятые в сфере коммунального благоустройства (работники, обслуживающие канализационные сети, сооружения и оборудование, а также организаций, </w:t>
            </w: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осуществляющих санитарную очистку населённых мест, сбор, транспортировку и утилизацию бытовых отходов). Лица, работающие с живыми культурами возбудителей брюшного тифа.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Население, проживающее на территориях с хроническими водными эпидемиями брюшного тифа.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Лица, выезжающие 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гиперэндемичные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брюшному тифу страны (регионы).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Контактные лица в очагах брюшного тифа по эпидемическим показаниям.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0D286A" w:rsidRPr="000D286A" w:rsidTr="003658C2">
        <w:trPr>
          <w:tblCellSpacing w:w="15" w:type="dxa"/>
          <w:jc w:val="center"/>
        </w:trPr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Против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шигеллёзов</w:t>
            </w:r>
            <w:proofErr w:type="spellEnd"/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Работники медицинских организаций (их структурных подразделений) инфекционного профиля.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Лица, занятые в сфере общественного питания и коммунального благоустройства.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0D286A" w:rsidRPr="000D286A" w:rsidRDefault="000D286A" w:rsidP="000D2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Профилактические прививки предпочтительно проводить перед сезонным подъёмом заболеваемости </w:t>
            </w:r>
            <w:proofErr w:type="spellStart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шигеллёзами</w:t>
            </w:r>
            <w:proofErr w:type="spellEnd"/>
            <w:r w:rsidRPr="000D286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96912" w:rsidRDefault="0039691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96912" w:rsidRDefault="0039691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96912" w:rsidRDefault="0039691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96912" w:rsidRDefault="0039691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396912" w:rsidRDefault="00396912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091D28"/>
          <w:sz w:val="27"/>
        </w:rPr>
      </w:pPr>
    </w:p>
    <w:p w:rsidR="000D286A" w:rsidRPr="000D286A" w:rsidRDefault="000D286A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lastRenderedPageBreak/>
        <w:t>Порядок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проведения гражданам профилактических прививок в рамках календаря профилактических прививок по эпидемическим показаниям</w:t>
      </w:r>
    </w:p>
    <w:p w:rsidR="000D286A" w:rsidRPr="000D286A" w:rsidRDefault="000D286A" w:rsidP="000D286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0D286A" w:rsidRPr="000D286A" w:rsidRDefault="000D286A" w:rsidP="000D286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Вакцинацию осуществляют медицинские работники, прошедшие </w:t>
      </w: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обучение по вопросам</w:t>
      </w:r>
      <w:proofErr w:type="gram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0D286A" w:rsidRPr="000D286A" w:rsidRDefault="000D286A" w:rsidP="000D286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0D286A" w:rsidRPr="000D286A" w:rsidRDefault="000D286A" w:rsidP="000D286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proofErr w:type="gram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поствакцинальные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№ 323-ФЭ «Об основах охраны здоровья граждан в Российской Федерации».</w:t>
      </w:r>
      <w:proofErr w:type="gramEnd"/>
    </w:p>
    <w:p w:rsidR="000D286A" w:rsidRPr="000D286A" w:rsidRDefault="000D286A" w:rsidP="000D286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Все лица, которым должны проводиться профилактические прививки, предварительно подвергаются осмотру врачом (фельдшером)</w:t>
      </w:r>
      <w:r w:rsidRPr="000D286A">
        <w:rPr>
          <w:rFonts w:ascii="Tahoma" w:eastAsia="Times New Roman" w:hAnsi="Tahoma" w:cs="Tahoma"/>
          <w:color w:val="091D28"/>
          <w:sz w:val="27"/>
          <w:szCs w:val="27"/>
          <w:vertAlign w:val="superscript"/>
        </w:rPr>
        <w:t>12</w:t>
      </w:r>
      <w:r w:rsidRPr="000D286A">
        <w:rPr>
          <w:rFonts w:ascii="Tahoma" w:eastAsia="Times New Roman" w:hAnsi="Tahoma" w:cs="Tahoma"/>
          <w:color w:val="091D28"/>
          <w:sz w:val="27"/>
          <w:szCs w:val="27"/>
        </w:rPr>
        <w:t>.</w:t>
      </w:r>
    </w:p>
    <w:p w:rsidR="000D286A" w:rsidRPr="000D286A" w:rsidRDefault="000D286A" w:rsidP="000D286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b/>
          <w:bCs/>
          <w:color w:val="091D28"/>
          <w:sz w:val="27"/>
        </w:rPr>
        <w:t>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0D286A" w:rsidRPr="000D286A" w:rsidRDefault="000D286A" w:rsidP="000D286A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полиовирусом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, выделение дикого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полиовируса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в </w:t>
      </w:r>
      <w:proofErr w:type="spellStart"/>
      <w:r w:rsidRPr="000D286A">
        <w:rPr>
          <w:rFonts w:ascii="Tahoma" w:eastAsia="Times New Roman" w:hAnsi="Tahoma" w:cs="Tahoma"/>
          <w:color w:val="091D28"/>
          <w:sz w:val="27"/>
          <w:szCs w:val="27"/>
        </w:rPr>
        <w:t>биопробах</w:t>
      </w:r>
      <w:proofErr w:type="spellEnd"/>
      <w:r w:rsidRPr="000D286A">
        <w:rPr>
          <w:rFonts w:ascii="Tahoma" w:eastAsia="Times New Roman" w:hAnsi="Tahoma" w:cs="Tahoma"/>
          <w:color w:val="091D28"/>
          <w:sz w:val="27"/>
          <w:szCs w:val="27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0D286A" w:rsidRPr="000D286A" w:rsidRDefault="000D286A" w:rsidP="000D286A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91D28"/>
          <w:sz w:val="20"/>
          <w:szCs w:val="20"/>
        </w:rPr>
      </w:pPr>
      <w:r w:rsidRPr="000D286A">
        <w:rPr>
          <w:rFonts w:ascii="Tahoma" w:eastAsia="Times New Roman" w:hAnsi="Tahoma" w:cs="Tahoma"/>
          <w:color w:val="091D28"/>
          <w:sz w:val="27"/>
          <w:szCs w:val="27"/>
        </w:rPr>
        <w:t>     </w:t>
      </w:r>
    </w:p>
    <w:p w:rsidR="009249C4" w:rsidRDefault="009249C4"/>
    <w:sectPr w:rsidR="009249C4" w:rsidSect="003658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FB"/>
    <w:multiLevelType w:val="multilevel"/>
    <w:tmpl w:val="EEB0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2B80"/>
    <w:multiLevelType w:val="multilevel"/>
    <w:tmpl w:val="12A2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86A"/>
    <w:rsid w:val="000D286A"/>
    <w:rsid w:val="003658C2"/>
    <w:rsid w:val="00396912"/>
    <w:rsid w:val="00525B25"/>
    <w:rsid w:val="009249C4"/>
    <w:rsid w:val="00984EE6"/>
    <w:rsid w:val="00B047EA"/>
    <w:rsid w:val="00C7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86A"/>
    <w:rPr>
      <w:b/>
      <w:bCs/>
    </w:rPr>
  </w:style>
  <w:style w:type="paragraph" w:customStyle="1" w:styleId="2">
    <w:name w:val="2"/>
    <w:basedOn w:val="a"/>
    <w:rsid w:val="000D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3020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E4B7-2457-4E5E-B39D-0631FBD4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2016-05-04T08:20:00Z</cp:lastPrinted>
  <dcterms:created xsi:type="dcterms:W3CDTF">2016-04-29T07:53:00Z</dcterms:created>
  <dcterms:modified xsi:type="dcterms:W3CDTF">2016-05-04T08:29:00Z</dcterms:modified>
</cp:coreProperties>
</file>