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59" w:rsidRDefault="00E03959" w:rsidP="00EC526B"/>
    <w:p w:rsidR="00EC526B" w:rsidRPr="002A41D5" w:rsidRDefault="00BE64A9" w:rsidP="00EC526B">
      <w:r>
        <w:t xml:space="preserve">Приложение № 1 </w:t>
      </w:r>
      <w:r w:rsidR="00EC526B" w:rsidRPr="002A41D5">
        <w:t xml:space="preserve">к </w:t>
      </w:r>
      <w:hyperlink r:id="rId4" w:anchor="1000" w:history="1">
        <w:r w:rsidR="00EC526B" w:rsidRPr="002A41D5">
          <w:t>Федеральному стандарту</w:t>
        </w:r>
      </w:hyperlink>
      <w:r>
        <w:t xml:space="preserve"> спортивной подготовки по виду </w:t>
      </w:r>
      <w:r w:rsidR="00EC526B" w:rsidRPr="002A41D5">
        <w:t>спорта настольный теннис</w:t>
      </w:r>
    </w:p>
    <w:p w:rsidR="00EC526B" w:rsidRPr="002A41D5" w:rsidRDefault="00EC526B" w:rsidP="00EC526B">
      <w:r w:rsidRPr="002A41D5"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2522"/>
        <w:gridCol w:w="4544"/>
        <w:gridCol w:w="2787"/>
      </w:tblGrid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A12C43" w:rsidRDefault="00EC526B" w:rsidP="00A12C43">
            <w:pPr>
              <w:jc w:val="center"/>
            </w:pPr>
            <w:r w:rsidRPr="002A41D5">
              <w:t xml:space="preserve">Продолжительность этапов </w:t>
            </w:r>
          </w:p>
          <w:p w:rsidR="00EC526B" w:rsidRPr="002A41D5" w:rsidRDefault="00EC526B" w:rsidP="00A12C43">
            <w:pPr>
              <w:jc w:val="center"/>
            </w:pPr>
            <w:r w:rsidRPr="002A41D5">
              <w:t>(в годах)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Наполняемость групп (человек)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Этап начальной подготовки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2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7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10-16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5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8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8-10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Без ограничений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10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2-6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Без ограничений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13</w:t>
            </w:r>
          </w:p>
        </w:tc>
        <w:tc>
          <w:tcPr>
            <w:tcW w:w="0" w:type="auto"/>
            <w:hideMark/>
          </w:tcPr>
          <w:p w:rsidR="00EC526B" w:rsidRPr="002A41D5" w:rsidRDefault="00EC526B" w:rsidP="00A12C43">
            <w:pPr>
              <w:jc w:val="center"/>
            </w:pPr>
            <w:r w:rsidRPr="002A41D5">
              <w:t>1-6</w:t>
            </w:r>
          </w:p>
        </w:tc>
      </w:tr>
    </w:tbl>
    <w:p w:rsidR="00E03959" w:rsidRDefault="00E03959" w:rsidP="00BE64A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959" w:rsidRDefault="00E03959" w:rsidP="00BE64A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959" w:rsidRDefault="00E03959" w:rsidP="00BE64A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959" w:rsidRDefault="00E03959" w:rsidP="00BE64A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959" w:rsidRDefault="00E03959" w:rsidP="00BE64A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3959" w:rsidRDefault="00E03959" w:rsidP="00EC526B"/>
    <w:p w:rsidR="00A12C43" w:rsidRDefault="00A12C43" w:rsidP="00EC526B"/>
    <w:p w:rsidR="00A12C43" w:rsidRDefault="00A12C43" w:rsidP="00EC526B"/>
    <w:p w:rsidR="00EC526B" w:rsidRPr="002A41D5" w:rsidRDefault="00EC526B" w:rsidP="00EC526B">
      <w:r w:rsidRPr="002A41D5">
        <w:lastRenderedPageBreak/>
        <w:t>Приложение № 2</w:t>
      </w:r>
      <w:r w:rsidRPr="002A41D5">
        <w:br/>
        <w:t xml:space="preserve">к </w:t>
      </w:r>
      <w:hyperlink r:id="rId5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>Соотношение объемов тренировочного процесса по видам подготовки на этапах спортивной подготовки по виду спорта настольный теннис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6"/>
        <w:gridCol w:w="736"/>
        <w:gridCol w:w="1102"/>
        <w:gridCol w:w="1420"/>
        <w:gridCol w:w="1876"/>
        <w:gridCol w:w="3239"/>
        <w:gridCol w:w="2361"/>
      </w:tblGrid>
      <w:tr w:rsidR="00EC526B" w:rsidRPr="002A41D5" w:rsidTr="00E03959">
        <w:trPr>
          <w:jc w:val="center"/>
        </w:trPr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Разделы подготовки </w:t>
            </w:r>
          </w:p>
        </w:tc>
        <w:tc>
          <w:tcPr>
            <w:tcW w:w="0" w:type="auto"/>
            <w:gridSpan w:val="6"/>
            <w:hideMark/>
          </w:tcPr>
          <w:p w:rsidR="00EC526B" w:rsidRPr="002A41D5" w:rsidRDefault="00EC526B" w:rsidP="00C52CF1">
            <w:r w:rsidRPr="002A41D5">
              <w:t xml:space="preserve">Этапы и годы спортивной подготовки </w:t>
            </w:r>
          </w:p>
        </w:tc>
      </w:tr>
      <w:tr w:rsidR="00EC526B" w:rsidRPr="002A41D5" w:rsidTr="00E0395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Этап высшего спортивного мастерства </w:t>
            </w:r>
          </w:p>
        </w:tc>
      </w:tr>
      <w:tr w:rsidR="00EC526B" w:rsidRPr="002A41D5" w:rsidTr="00E0395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До года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Свыше года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До двух лет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Свыше двух лет 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</w:tr>
      <w:tr w:rsidR="00EC526B" w:rsidRPr="002A41D5" w:rsidTr="00E03959">
        <w:trPr>
          <w:jc w:val="center"/>
        </w:trPr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>Общая физическая подготовка</w:t>
            </w:r>
            <w:proofErr w:type="gramStart"/>
            <w:r w:rsidRPr="002A41D5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26 - 34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26 - 34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13 - 17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9 - 11 </w:t>
            </w:r>
          </w:p>
        </w:tc>
      </w:tr>
      <w:tr w:rsidR="00EC526B" w:rsidRPr="002A41D5" w:rsidTr="00E03959">
        <w:trPr>
          <w:jc w:val="center"/>
        </w:trPr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>Специальная физическая подготовка</w:t>
            </w:r>
            <w:proofErr w:type="gramStart"/>
            <w:r w:rsidRPr="002A41D5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13 - 17 </w:t>
            </w:r>
          </w:p>
        </w:tc>
      </w:tr>
      <w:tr w:rsidR="00EC526B" w:rsidRPr="002A41D5" w:rsidTr="00E03959">
        <w:trPr>
          <w:jc w:val="center"/>
        </w:trPr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>Техническая подготовка</w:t>
            </w:r>
            <w:proofErr w:type="gramStart"/>
            <w:r w:rsidRPr="002A41D5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31 - 39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31 - 39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26 - 34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26 - 34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22 - 28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22 - 28 </w:t>
            </w:r>
          </w:p>
        </w:tc>
      </w:tr>
      <w:tr w:rsidR="00EC526B" w:rsidRPr="002A41D5" w:rsidTr="00E03959">
        <w:trPr>
          <w:jc w:val="center"/>
        </w:trPr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>Тактическая, теоретическая, психологическая подготовка</w:t>
            </w:r>
            <w:proofErr w:type="gramStart"/>
            <w:r w:rsidRPr="002A41D5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9 - 11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9 - 11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22 - 28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26 - 34 </w:t>
            </w:r>
          </w:p>
        </w:tc>
      </w:tr>
      <w:tr w:rsidR="00EC526B" w:rsidRPr="002A41D5" w:rsidTr="00E03959">
        <w:trPr>
          <w:jc w:val="center"/>
        </w:trPr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>Участие в соревнованиях, инструкторская и судейская практика</w:t>
            </w:r>
            <w:proofErr w:type="gramStart"/>
            <w:r w:rsidRPr="002A41D5">
              <w:t xml:space="preserve"> (%) </w:t>
            </w:r>
            <w:proofErr w:type="gramEnd"/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4 - 6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4 - 6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9 - 11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9 - 11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13 - 17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17 - 23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3</w:t>
      </w:r>
      <w:r w:rsidRPr="002A41D5">
        <w:br/>
        <w:t xml:space="preserve">к </w:t>
      </w:r>
      <w:hyperlink r:id="rId6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Планируемые показатели </w:t>
      </w:r>
      <w:r w:rsidRPr="002A41D5">
        <w:br/>
        <w:t>соревновательной деятельности по виду спорта настольный теннис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8"/>
        <w:gridCol w:w="858"/>
        <w:gridCol w:w="1287"/>
        <w:gridCol w:w="1735"/>
        <w:gridCol w:w="2309"/>
        <w:gridCol w:w="3808"/>
        <w:gridCol w:w="2855"/>
      </w:tblGrid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Виды соревнований</w:t>
            </w:r>
          </w:p>
        </w:tc>
        <w:tc>
          <w:tcPr>
            <w:tcW w:w="0" w:type="auto"/>
            <w:gridSpan w:val="6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Этапы и годы спортивной подготовки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 высшего спортивного мастерства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До года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Свыше года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До двух лет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Контрольные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Отборочные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-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-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Основные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4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10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12-14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Количество встреч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20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30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36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42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60-84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84-96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4</w:t>
      </w:r>
      <w:r w:rsidRPr="002A41D5">
        <w:br/>
        <w:t xml:space="preserve">к </w:t>
      </w:r>
      <w:hyperlink r:id="rId7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>Влияние физических качеств и телосложения на результативность по виду спорта настольный теннис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  <w:gridCol w:w="1842"/>
      </w:tblGrid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Физические качества и телосложение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Уровень влияния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Скоростные способности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Мышечная сила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Вестибулярная устойчивость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Выносливость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Гибкость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Координационные способности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</w:t>
            </w:r>
          </w:p>
        </w:tc>
      </w:tr>
      <w:tr w:rsidR="00EC526B" w:rsidRPr="002A41D5" w:rsidTr="00E03959">
        <w:tc>
          <w:tcPr>
            <w:tcW w:w="3843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Телосложение</w:t>
            </w:r>
          </w:p>
        </w:tc>
        <w:tc>
          <w:tcPr>
            <w:tcW w:w="1842" w:type="dxa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</w:t>
            </w:r>
          </w:p>
        </w:tc>
      </w:tr>
    </w:tbl>
    <w:p w:rsidR="00EC526B" w:rsidRPr="002A41D5" w:rsidRDefault="00EC526B" w:rsidP="00EC526B">
      <w:r w:rsidRPr="002A41D5">
        <w:t>Условные обозначения:</w:t>
      </w:r>
    </w:p>
    <w:p w:rsidR="00EC526B" w:rsidRPr="002A41D5" w:rsidRDefault="00EC526B" w:rsidP="00EC526B">
      <w:r w:rsidRPr="002A41D5">
        <w:t>3 - значительное влияние;</w:t>
      </w:r>
    </w:p>
    <w:p w:rsidR="00EC526B" w:rsidRPr="002A41D5" w:rsidRDefault="00EC526B" w:rsidP="00EC526B">
      <w:r w:rsidRPr="002A41D5">
        <w:t>2 - среднее влияние;</w:t>
      </w:r>
    </w:p>
    <w:p w:rsidR="00EC526B" w:rsidRPr="002A41D5" w:rsidRDefault="00EC526B" w:rsidP="00EC526B">
      <w:r w:rsidRPr="002A41D5">
        <w:t>1 - незначительное влияние.</w:t>
      </w:r>
    </w:p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5</w:t>
      </w:r>
      <w:r w:rsidRPr="002A41D5">
        <w:br/>
        <w:t xml:space="preserve">к </w:t>
      </w:r>
      <w:hyperlink r:id="rId8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Нормативы </w:t>
      </w:r>
      <w:r w:rsidRPr="002A41D5"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5852"/>
        <w:gridCol w:w="5852"/>
      </w:tblGrid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Контрольные упражнения (тесты)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Юноши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Девушки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Быстрота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на 30 м (не более 5,6 с)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на 30 м (не более 5,9 с) </w:t>
            </w:r>
          </w:p>
        </w:tc>
      </w:tr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Координация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боком через гимнастическую скамейку за 30 с (не менее 15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боком через гимнастическую скамейку за 30 с (не менее 15 раз)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30 с (не менее 35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30 с (не менее 30 раз) </w:t>
            </w:r>
          </w:p>
        </w:tc>
      </w:tr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155 см)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150 см)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Метание мяча для настольного тенниса (не менее 4 м)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Метание мяча для настольного тенниса (не менее 3 м)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6</w:t>
      </w:r>
      <w:r w:rsidRPr="002A41D5">
        <w:br/>
        <w:t xml:space="preserve">к </w:t>
      </w:r>
      <w:hyperlink r:id="rId9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Нормативы </w:t>
      </w:r>
      <w:r w:rsidRPr="002A41D5"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2"/>
        <w:gridCol w:w="4609"/>
        <w:gridCol w:w="5554"/>
      </w:tblGrid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Контрольные упражнения (тесты)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Юноши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Девушки </w:t>
            </w:r>
          </w:p>
        </w:tc>
      </w:tr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Быстрота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на 10 м (не более 3,4 с)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на 10 м (не более 3,8 с)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на 30 м (не более 5,3 с)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на 30 м (не более 5,6 с)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Координация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45 с (не менее 75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45 с (не менее 65 раз)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160 см)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155 см)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Подтягивание на перекладине (не менее 7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Сгибание и разгибание </w:t>
            </w:r>
            <w:proofErr w:type="gramStart"/>
            <w:r w:rsidRPr="002A41D5">
              <w:t>рук</w:t>
            </w:r>
            <w:proofErr w:type="gramEnd"/>
            <w:r w:rsidRPr="002A41D5">
              <w:t xml:space="preserve"> в упоре лежа (не менее 10 раз)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Обязательная техническая программа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7</w:t>
      </w:r>
      <w:r w:rsidRPr="002A41D5">
        <w:br/>
        <w:t xml:space="preserve">к </w:t>
      </w:r>
      <w:hyperlink r:id="rId10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Нормативы </w:t>
      </w:r>
      <w:r w:rsidRPr="002A41D5"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  <w:gridCol w:w="5778"/>
        <w:gridCol w:w="5778"/>
      </w:tblGrid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Контрольные упражнения (тесты)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Юноши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Девушки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Быстрота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60 м (не более 10,1 с)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60 м (не более 10,8 с)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Координация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45 с (не менее 115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45 с (не менее 105 раз)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Сгибание и разгибание рук в упоре лежа за 1 мин (не менее 25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Сгибание и разгибание рук в упоре лежа за 1 мин (не менее 20 раз)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191 см)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181 см)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Обязательная техническая программа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Спортивный разряд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Кандидат в мастера спорта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8</w:t>
      </w:r>
      <w:r w:rsidRPr="002A41D5">
        <w:br/>
        <w:t xml:space="preserve">к </w:t>
      </w:r>
      <w:hyperlink r:id="rId11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Нормативы </w:t>
      </w:r>
      <w:r w:rsidRPr="002A41D5"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  <w:gridCol w:w="5778"/>
        <w:gridCol w:w="5778"/>
      </w:tblGrid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Контрольные упражнения (тесты) 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Юноши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Девушки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Быстрота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60 м (не более 9,1 с)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Бег 60 м (не более 10,1 с)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Координация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45 с (не менее 128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Прыжки через скакалку за 45 с (не менее 115 раз)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Силовая выносливость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Сгибание и разгибание рук в упоре лежа за 1 мин (не менее 30 раз)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Сгибание и разгибание рук в упоре лежа за 1 мин (не менее 25 раз)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Скоростно-силовые качества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216 см)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Прыжок в длину с места (не менее 191 см)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Техническое мастерство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Обязательная техническая программа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Обязательная техническая программа 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Спортивное звание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   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9</w:t>
      </w:r>
      <w:r w:rsidRPr="002A41D5">
        <w:br/>
        <w:t xml:space="preserve">к </w:t>
      </w:r>
      <w:hyperlink r:id="rId12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Нормативы </w:t>
      </w:r>
      <w:r w:rsidRPr="002A41D5">
        <w:br/>
        <w:t>максимального объема тренировочной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80"/>
        <w:gridCol w:w="1317"/>
        <w:gridCol w:w="1178"/>
        <w:gridCol w:w="1564"/>
        <w:gridCol w:w="3913"/>
        <w:gridCol w:w="2946"/>
      </w:tblGrid>
      <w:tr w:rsidR="00EC526B" w:rsidRPr="002A41D5" w:rsidTr="00E03959">
        <w:tc>
          <w:tcPr>
            <w:tcW w:w="0" w:type="auto"/>
            <w:vMerge w:val="restart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Этапы и годы спортивной подготовки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E03959" w:rsidRDefault="00EC526B" w:rsidP="00E03959">
            <w:pPr>
              <w:jc w:val="center"/>
            </w:pPr>
            <w:r w:rsidRPr="002A41D5">
              <w:t xml:space="preserve">Тренировочный этап </w:t>
            </w:r>
          </w:p>
          <w:p w:rsidR="00EC526B" w:rsidRPr="002A41D5" w:rsidRDefault="00EC526B" w:rsidP="00E03959">
            <w:pPr>
              <w:jc w:val="center"/>
            </w:pPr>
            <w:r w:rsidRPr="002A41D5">
              <w:t>(этап спортивной специализации)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Этап высшего спортивного мастерства</w:t>
            </w:r>
          </w:p>
        </w:tc>
      </w:tr>
      <w:tr w:rsidR="00EC526B" w:rsidRPr="002A41D5" w:rsidTr="00E03959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до года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свыше года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До двух лет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E03959">
            <w:pPr>
              <w:jc w:val="center"/>
            </w:pP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Количество часов в неделю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6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9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16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24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30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5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5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6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7-8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9-11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312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468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624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832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1248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1560</w:t>
            </w:r>
          </w:p>
        </w:tc>
      </w:tr>
      <w:tr w:rsidR="00EC526B" w:rsidRPr="002A41D5" w:rsidTr="00E03959"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156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260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260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312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416</w:t>
            </w:r>
          </w:p>
        </w:tc>
        <w:tc>
          <w:tcPr>
            <w:tcW w:w="0" w:type="auto"/>
            <w:hideMark/>
          </w:tcPr>
          <w:p w:rsidR="00EC526B" w:rsidRPr="002A41D5" w:rsidRDefault="00EC526B" w:rsidP="00E03959">
            <w:pPr>
              <w:jc w:val="center"/>
            </w:pPr>
            <w:r w:rsidRPr="002A41D5">
              <w:t>572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10</w:t>
      </w:r>
      <w:r w:rsidRPr="002A41D5">
        <w:br/>
        <w:t xml:space="preserve">к </w:t>
      </w:r>
      <w:hyperlink r:id="rId13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 xml:space="preserve">Перечень </w:t>
      </w:r>
      <w:r w:rsidRPr="002A41D5">
        <w:br/>
        <w:t>тренировочных сборов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"/>
        <w:gridCol w:w="4385"/>
        <w:gridCol w:w="1526"/>
        <w:gridCol w:w="2279"/>
        <w:gridCol w:w="2031"/>
        <w:gridCol w:w="1305"/>
        <w:gridCol w:w="2676"/>
      </w:tblGrid>
      <w:tr w:rsidR="00EC526B" w:rsidRPr="002A41D5" w:rsidTr="00A12C43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№ </w:t>
            </w:r>
            <w:proofErr w:type="spellStart"/>
            <w:proofErr w:type="gramStart"/>
            <w:r w:rsidRPr="002A41D5">
              <w:t>п</w:t>
            </w:r>
            <w:proofErr w:type="spellEnd"/>
            <w:proofErr w:type="gramEnd"/>
            <w:r w:rsidRPr="002A41D5">
              <w:t>/</w:t>
            </w:r>
            <w:proofErr w:type="spellStart"/>
            <w:r w:rsidRPr="002A41D5">
              <w:t>п</w:t>
            </w:r>
            <w:proofErr w:type="spellEnd"/>
            <w:r w:rsidRPr="002A41D5"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Вид тренировочных сборов </w:t>
            </w:r>
          </w:p>
        </w:tc>
        <w:tc>
          <w:tcPr>
            <w:tcW w:w="0" w:type="auto"/>
            <w:gridSpan w:val="4"/>
            <w:hideMark/>
          </w:tcPr>
          <w:p w:rsidR="00EC526B" w:rsidRPr="002A41D5" w:rsidRDefault="00EC526B" w:rsidP="00C52CF1">
            <w:r w:rsidRPr="002A41D5">
              <w:t xml:space="preserve">Предельная продолжительность сборов по этапам спортивной подготовки (количество дней)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Оптимальное число участников сбора </w:t>
            </w:r>
          </w:p>
        </w:tc>
      </w:tr>
      <w:tr w:rsidR="00EC526B" w:rsidRPr="002A41D5" w:rsidTr="00A12C43">
        <w:trPr>
          <w:trHeight w:val="1254"/>
        </w:trPr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Этап высшего спортивного мастерства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Этап начальной подготовки 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</w:tr>
      <w:tr w:rsidR="00EC526B" w:rsidRPr="002A41D5" w:rsidTr="00A12C43">
        <w:tc>
          <w:tcPr>
            <w:tcW w:w="0" w:type="auto"/>
            <w:gridSpan w:val="7"/>
            <w:hideMark/>
          </w:tcPr>
          <w:p w:rsidR="00EC526B" w:rsidRPr="002A41D5" w:rsidRDefault="00EC526B" w:rsidP="00C52CF1">
            <w:r w:rsidRPr="002A41D5">
              <w:t xml:space="preserve">1. Тренировочные сборы по подготовке к соревнованиям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1.1.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Определяется организацией, осуществляющей спортивную подготовку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1.2.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1.3.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1.4.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</w:tr>
      <w:tr w:rsidR="00EC526B" w:rsidRPr="002A41D5" w:rsidTr="00A12C43">
        <w:tc>
          <w:tcPr>
            <w:tcW w:w="0" w:type="auto"/>
            <w:gridSpan w:val="7"/>
            <w:hideMark/>
          </w:tcPr>
          <w:p w:rsidR="00EC526B" w:rsidRPr="002A41D5" w:rsidRDefault="00EC526B" w:rsidP="00C52CF1">
            <w:r w:rsidRPr="002A41D5">
              <w:t xml:space="preserve">2. Специальные тренировочные сборы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2.1.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%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Не менее 70% от состава группы лиц, проходящих спортивную подготовку на </w:t>
            </w:r>
            <w:r w:rsidRPr="002A41D5">
              <w:lastRenderedPageBreak/>
              <w:t xml:space="preserve">определенном этапе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lastRenderedPageBreak/>
              <w:t xml:space="preserve">2.2.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3"/>
            <w:hideMark/>
          </w:tcPr>
          <w:p w:rsidR="00EC526B" w:rsidRPr="002A41D5" w:rsidRDefault="00EC526B" w:rsidP="00C52CF1">
            <w:r w:rsidRPr="002A41D5">
              <w:t xml:space="preserve">До 14 дней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Участники соревнований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2.3.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3"/>
            <w:hideMark/>
          </w:tcPr>
          <w:p w:rsidR="00EC526B" w:rsidRPr="002A41D5" w:rsidRDefault="00EC526B" w:rsidP="00C52CF1">
            <w:r w:rsidRPr="002A41D5">
              <w:t xml:space="preserve">До 5 </w:t>
            </w:r>
            <w:proofErr w:type="gramStart"/>
            <w:r w:rsidRPr="002A41D5">
              <w:t>дней</w:t>
            </w:r>
            <w:proofErr w:type="gramEnd"/>
            <w:r w:rsidRPr="002A41D5">
              <w:t xml:space="preserve"> но не более 2 раз в год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В соответствии с планом комплексного медицинского обследования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2.4.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Тренировочные сборы в каникулярный период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До 21 дня подряд и не более двух сборов в год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2.5.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До 60 дней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В соответствии с правилами приема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11</w:t>
      </w:r>
      <w:r w:rsidRPr="002A41D5">
        <w:br/>
        <w:t xml:space="preserve">к </w:t>
      </w:r>
      <w:hyperlink r:id="rId14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proofErr w:type="gramStart"/>
      <w:r w:rsidRPr="002A41D5">
        <w:t>Оборудование и спортивный инвентарь, необходимые для прохождения спортивной подготовки</w:t>
      </w:r>
      <w:proofErr w:type="gramEnd"/>
    </w:p>
    <w:p w:rsidR="00EC526B" w:rsidRPr="002A41D5" w:rsidRDefault="00EC526B" w:rsidP="00EC526B">
      <w:r w:rsidRPr="002A41D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"/>
        <w:gridCol w:w="4489"/>
        <w:gridCol w:w="1926"/>
        <w:gridCol w:w="1953"/>
      </w:tblGrid>
      <w:tr w:rsidR="00EC526B" w:rsidRPr="002A41D5" w:rsidTr="00A12C43">
        <w:tc>
          <w:tcPr>
            <w:tcW w:w="0" w:type="auto"/>
            <w:hideMark/>
          </w:tcPr>
          <w:p w:rsidR="00A12C43" w:rsidRDefault="00EC526B" w:rsidP="00C52CF1">
            <w:r w:rsidRPr="002A41D5">
              <w:t xml:space="preserve">№ </w:t>
            </w:r>
          </w:p>
          <w:p w:rsidR="00EC526B" w:rsidRPr="002A41D5" w:rsidRDefault="00EC526B" w:rsidP="00C52CF1">
            <w:proofErr w:type="spellStart"/>
            <w:proofErr w:type="gramStart"/>
            <w:r w:rsidRPr="002A41D5">
              <w:t>п</w:t>
            </w:r>
            <w:proofErr w:type="spellEnd"/>
            <w:proofErr w:type="gramEnd"/>
            <w:r w:rsidRPr="002A41D5">
              <w:t>/</w:t>
            </w:r>
            <w:proofErr w:type="spellStart"/>
            <w:r w:rsidRPr="002A41D5">
              <w:t>п</w:t>
            </w:r>
            <w:proofErr w:type="spellEnd"/>
            <w:r w:rsidRPr="002A41D5">
              <w:t xml:space="preserve">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Наименование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Единица измерения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Количество изделий </w:t>
            </w:r>
          </w:p>
        </w:tc>
      </w:tr>
      <w:tr w:rsidR="00EC526B" w:rsidRPr="002A41D5" w:rsidTr="00A12C43">
        <w:tc>
          <w:tcPr>
            <w:tcW w:w="0" w:type="auto"/>
            <w:gridSpan w:val="4"/>
            <w:hideMark/>
          </w:tcPr>
          <w:p w:rsidR="00EC526B" w:rsidRPr="002A41D5" w:rsidRDefault="00EC526B" w:rsidP="00C52CF1">
            <w:r w:rsidRPr="002A41D5">
              <w:t xml:space="preserve">Спортивное оборудование и инвентарь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Теннисный стол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комплект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4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Ракетка для настольного тенниса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12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Мячи для настольного тенниса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300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Гантели переменной массы от 1,5 до 10 кг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комплект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5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>Мяч набивной (</w:t>
            </w:r>
            <w:proofErr w:type="spellStart"/>
            <w:r w:rsidRPr="002A41D5">
              <w:t>медицинбол</w:t>
            </w:r>
            <w:proofErr w:type="spellEnd"/>
            <w:r w:rsidRPr="002A41D5">
              <w:t xml:space="preserve">) весом от 1 до 5 кг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7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6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Перекладина гимнастическая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7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Стенка гимнастическая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Скамейка гимнастическая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537"/>
        <w:gridCol w:w="1114"/>
        <w:gridCol w:w="1558"/>
        <w:gridCol w:w="1092"/>
        <w:gridCol w:w="1355"/>
        <w:gridCol w:w="1125"/>
        <w:gridCol w:w="1424"/>
        <w:gridCol w:w="1116"/>
        <w:gridCol w:w="1405"/>
        <w:gridCol w:w="1151"/>
        <w:gridCol w:w="1363"/>
      </w:tblGrid>
      <w:tr w:rsidR="00EC526B" w:rsidRPr="002A41D5" w:rsidTr="00A12C43">
        <w:tc>
          <w:tcPr>
            <w:tcW w:w="0" w:type="auto"/>
            <w:gridSpan w:val="12"/>
            <w:tcBorders>
              <w:bottom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Спортивный инвентарь, передаваемый в индивидуальное пользование </w:t>
            </w:r>
          </w:p>
        </w:tc>
      </w:tr>
      <w:tr w:rsidR="00EC526B" w:rsidRPr="002A41D5" w:rsidTr="00A12C4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№ </w:t>
            </w:r>
            <w:proofErr w:type="spellStart"/>
            <w:proofErr w:type="gramStart"/>
            <w:r w:rsidRPr="002A41D5">
              <w:t>п</w:t>
            </w:r>
            <w:proofErr w:type="spellEnd"/>
            <w:proofErr w:type="gramEnd"/>
            <w:r w:rsidRPr="002A41D5">
              <w:t>/</w:t>
            </w:r>
            <w:proofErr w:type="spellStart"/>
            <w:r w:rsidRPr="002A41D5">
              <w:t>п</w:t>
            </w:r>
            <w:proofErr w:type="spellEnd"/>
            <w:r w:rsidRPr="002A41D5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Единица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Расчетная единица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Этапы спортивной подготовки </w:t>
            </w:r>
          </w:p>
        </w:tc>
      </w:tr>
      <w:tr w:rsidR="00EC526B" w:rsidRPr="002A41D5" w:rsidTr="00A12C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Этап начальной подготовки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Этап высшего спортивного мастерства </w:t>
            </w:r>
          </w:p>
        </w:tc>
      </w:tr>
      <w:tr w:rsidR="00EC526B" w:rsidRPr="002A41D5" w:rsidTr="00A12C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срок эксплуатации (лет)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срок эксплуатации (лет)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срок эксплуатации (лет)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количество.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срок эксплуатации (лет) </w:t>
            </w:r>
          </w:p>
        </w:tc>
      </w:tr>
      <w:tr w:rsidR="00EC526B" w:rsidRPr="002A41D5" w:rsidTr="00A12C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Ракетка для настольного тенниса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Резиновые накладки для ракетки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</w:tbl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03959" w:rsidRDefault="00E03959" w:rsidP="00EC526B"/>
    <w:p w:rsidR="00EC526B" w:rsidRPr="002A41D5" w:rsidRDefault="00EC526B" w:rsidP="00EC526B">
      <w:r w:rsidRPr="002A41D5">
        <w:lastRenderedPageBreak/>
        <w:t>Приложение № 12</w:t>
      </w:r>
      <w:r w:rsidRPr="002A41D5">
        <w:br/>
        <w:t xml:space="preserve">к </w:t>
      </w:r>
      <w:hyperlink r:id="rId15" w:anchor="1000" w:history="1">
        <w:r w:rsidRPr="002A41D5">
          <w:t>Федеральному стандарту</w:t>
        </w:r>
      </w:hyperlink>
      <w:r w:rsidRPr="002A41D5">
        <w:br/>
        <w:t>спортивной подготовки по виду</w:t>
      </w:r>
      <w:r w:rsidRPr="002A41D5">
        <w:br/>
        <w:t>спорта настольный теннис</w:t>
      </w:r>
    </w:p>
    <w:p w:rsidR="00EC526B" w:rsidRPr="002A41D5" w:rsidRDefault="00EC526B" w:rsidP="00EC526B">
      <w:r w:rsidRPr="002A41D5">
        <w:t>Обеспечение спортивной экипировкой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1653"/>
        <w:gridCol w:w="1110"/>
        <w:gridCol w:w="1557"/>
        <w:gridCol w:w="1092"/>
        <w:gridCol w:w="1326"/>
        <w:gridCol w:w="1137"/>
        <w:gridCol w:w="1400"/>
        <w:gridCol w:w="1127"/>
        <w:gridCol w:w="1383"/>
        <w:gridCol w:w="1107"/>
        <w:gridCol w:w="1350"/>
      </w:tblGrid>
      <w:tr w:rsidR="00EC526B" w:rsidRPr="002A41D5" w:rsidTr="00A12C43"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№ </w:t>
            </w:r>
            <w:proofErr w:type="spellStart"/>
            <w:proofErr w:type="gramStart"/>
            <w:r w:rsidRPr="002A41D5">
              <w:t>п</w:t>
            </w:r>
            <w:proofErr w:type="spellEnd"/>
            <w:proofErr w:type="gramEnd"/>
            <w:r w:rsidRPr="002A41D5">
              <w:t>/</w:t>
            </w:r>
            <w:proofErr w:type="spellStart"/>
            <w:r w:rsidRPr="002A41D5">
              <w:t>п</w:t>
            </w:r>
            <w:proofErr w:type="spellEnd"/>
            <w:r w:rsidRPr="002A41D5"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Наименование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Единица измерения </w:t>
            </w:r>
          </w:p>
        </w:tc>
        <w:tc>
          <w:tcPr>
            <w:tcW w:w="0" w:type="auto"/>
            <w:vMerge w:val="restart"/>
            <w:hideMark/>
          </w:tcPr>
          <w:p w:rsidR="00EC526B" w:rsidRPr="002A41D5" w:rsidRDefault="00EC526B" w:rsidP="00C52CF1">
            <w:r w:rsidRPr="002A41D5">
              <w:t xml:space="preserve">Расчетная единица </w:t>
            </w:r>
          </w:p>
        </w:tc>
        <w:tc>
          <w:tcPr>
            <w:tcW w:w="0" w:type="auto"/>
            <w:gridSpan w:val="8"/>
            <w:hideMark/>
          </w:tcPr>
          <w:p w:rsidR="00EC526B" w:rsidRPr="002A41D5" w:rsidRDefault="00EC526B" w:rsidP="00C52CF1">
            <w:r w:rsidRPr="002A41D5">
              <w:t xml:space="preserve">Этапы спортивной подготовки </w:t>
            </w:r>
          </w:p>
        </w:tc>
      </w:tr>
      <w:tr w:rsidR="00EC526B" w:rsidRPr="002A41D5" w:rsidTr="00A12C43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Этап начальной подготовки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Тренировочный этап (этап спортивной специализации)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Этап совершенствования спортивного мастерства </w:t>
            </w:r>
          </w:p>
        </w:tc>
        <w:tc>
          <w:tcPr>
            <w:tcW w:w="0" w:type="auto"/>
            <w:gridSpan w:val="2"/>
            <w:hideMark/>
          </w:tcPr>
          <w:p w:rsidR="00EC526B" w:rsidRPr="002A41D5" w:rsidRDefault="00EC526B" w:rsidP="00C52CF1">
            <w:r w:rsidRPr="002A41D5">
              <w:t xml:space="preserve">Этап высшего спортивного мастерства </w:t>
            </w:r>
          </w:p>
        </w:tc>
      </w:tr>
      <w:tr w:rsidR="00EC526B" w:rsidRPr="002A41D5" w:rsidTr="00A12C43"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vMerge/>
            <w:vAlign w:val="center"/>
            <w:hideMark/>
          </w:tcPr>
          <w:p w:rsidR="00EC526B" w:rsidRPr="002A41D5" w:rsidRDefault="00EC526B" w:rsidP="00C52CF1"/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срок эксплуатации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срок эксплуатации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срок эксплуатации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количество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срок эксплуатации </w:t>
            </w:r>
          </w:p>
        </w:tc>
      </w:tr>
      <w:tr w:rsidR="00EC526B" w:rsidRPr="002A41D5" w:rsidTr="00A12C43">
        <w:tc>
          <w:tcPr>
            <w:tcW w:w="0" w:type="auto"/>
            <w:gridSpan w:val="12"/>
            <w:hideMark/>
          </w:tcPr>
          <w:p w:rsidR="00EC526B" w:rsidRPr="002A41D5" w:rsidRDefault="00EC526B" w:rsidP="00C52CF1">
            <w:r w:rsidRPr="002A41D5">
              <w:t xml:space="preserve">Спортивная экипировка, передаваемая в индивидуальное пользование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Костюм спортивный тренировочный зимний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Костюм спортивный тренировочный летний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3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Кроссовки для спортивных залов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пар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4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Спортивные брюки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пар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5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Фиксаторы для </w:t>
            </w:r>
            <w:proofErr w:type="spellStart"/>
            <w:r w:rsidRPr="002A41D5">
              <w:lastRenderedPageBreak/>
              <w:t>голеностопа</w:t>
            </w:r>
            <w:proofErr w:type="spellEnd"/>
            <w:r w:rsidRPr="002A41D5">
              <w:t xml:space="preserve">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lastRenderedPageBreak/>
              <w:t xml:space="preserve">комплект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</w:t>
            </w:r>
            <w:r w:rsidRPr="002A41D5">
              <w:lastRenderedPageBreak/>
              <w:t xml:space="preserve">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lastRenderedPageBreak/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lastRenderedPageBreak/>
              <w:t xml:space="preserve">6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Фиксаторы коленных суставов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комплект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7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Фиксаторы локтевых суставов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комплект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8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Футболка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штук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  <w:tr w:rsidR="00EC526B" w:rsidRPr="002A41D5" w:rsidTr="00A12C43"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9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Шорты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пар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на занимающегося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-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2 </w:t>
            </w:r>
          </w:p>
        </w:tc>
        <w:tc>
          <w:tcPr>
            <w:tcW w:w="0" w:type="auto"/>
            <w:hideMark/>
          </w:tcPr>
          <w:p w:rsidR="00EC526B" w:rsidRPr="002A41D5" w:rsidRDefault="00EC526B" w:rsidP="00C52CF1">
            <w:r w:rsidRPr="002A41D5">
              <w:t xml:space="preserve">1 </w:t>
            </w:r>
          </w:p>
        </w:tc>
      </w:tr>
    </w:tbl>
    <w:p w:rsidR="00EC526B" w:rsidRPr="002A41D5" w:rsidRDefault="00EC526B" w:rsidP="00EC526B">
      <w:bookmarkStart w:id="0" w:name="review"/>
      <w:bookmarkEnd w:id="0"/>
      <w:r w:rsidRPr="002A41D5">
        <w:t>Обзор документа</w:t>
      </w:r>
    </w:p>
    <w:p w:rsidR="00EC526B" w:rsidRPr="002A41D5" w:rsidRDefault="0099343F" w:rsidP="00EC526B">
      <w:r>
        <w:pict>
          <v:rect id="_x0000_i1025" style="width:0;height:.75pt" o:hralign="center" o:hrstd="t" o:hr="t" fillcolor="#a0a0a0" stroked="f"/>
        </w:pict>
      </w:r>
    </w:p>
    <w:p w:rsidR="00EC526B" w:rsidRPr="002A41D5" w:rsidRDefault="00EC526B" w:rsidP="00EC526B">
      <w:r w:rsidRPr="002A41D5">
        <w:t>Утвержден федеральный стандарт спортивной подготовки по настольному теннису.</w:t>
      </w:r>
    </w:p>
    <w:p w:rsidR="00EC526B" w:rsidRPr="002A41D5" w:rsidRDefault="00EC526B" w:rsidP="00EC526B">
      <w:r w:rsidRPr="002A41D5">
        <w:t>В нем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подготовки. Установлены особенности подготовки по отдельным спортивным дисциплинам.</w:t>
      </w:r>
    </w:p>
    <w:p w:rsidR="00EC526B" w:rsidRPr="002A41D5" w:rsidRDefault="00EC526B" w:rsidP="00EC526B">
      <w:r w:rsidRPr="002A41D5">
        <w:t>Минимальный возраст для зачисления в группу на этапе начальной подготовки составляет 7 лет. На результаты по данному виду спорта наиболее значительно влияют такие физические качества, как вестибулярная устойчивость, скоростные и координационные способности.</w:t>
      </w:r>
    </w:p>
    <w:p w:rsidR="00EC526B" w:rsidRPr="002A41D5" w:rsidRDefault="00EC526B" w:rsidP="00EC526B">
      <w:r w:rsidRPr="002A41D5">
        <w:t>Приведены перечень необходимой экипировки для занятия указанным видом спорта, требования к кадрам и материально-технической базе спортивных организаций.</w:t>
      </w:r>
    </w:p>
    <w:p w:rsidR="00EC526B" w:rsidRPr="002A41D5" w:rsidRDefault="0099343F" w:rsidP="00EC526B">
      <w:r w:rsidRPr="002A41D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16" o:title=""/>
          </v:shape>
          <w:control r:id="rId17" w:name="DefaultOcxName" w:shapeid="_x0000_i1029"/>
        </w:object>
      </w:r>
    </w:p>
    <w:sectPr w:rsidR="00EC526B" w:rsidRPr="002A41D5" w:rsidSect="00BE64A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26B"/>
    <w:rsid w:val="001444C8"/>
    <w:rsid w:val="00722E3C"/>
    <w:rsid w:val="00913CEB"/>
    <w:rsid w:val="0099343F"/>
    <w:rsid w:val="00A12C43"/>
    <w:rsid w:val="00BE64A9"/>
    <w:rsid w:val="00C52CF1"/>
    <w:rsid w:val="00E03959"/>
    <w:rsid w:val="00EC526B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6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297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711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534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59775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5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449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53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985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3080/" TargetMode="External"/><Relationship Id="rId13" Type="http://schemas.openxmlformats.org/officeDocument/2006/relationships/hyperlink" Target="http://www.garant.ru/products/ipo/prime/doc/7032308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323080/" TargetMode="External"/><Relationship Id="rId12" Type="http://schemas.openxmlformats.org/officeDocument/2006/relationships/hyperlink" Target="http://www.garant.ru/products/ipo/prime/doc/70323080/" TargetMode="External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3080/" TargetMode="External"/><Relationship Id="rId11" Type="http://schemas.openxmlformats.org/officeDocument/2006/relationships/hyperlink" Target="http://www.garant.ru/products/ipo/prime/doc/70323080/" TargetMode="External"/><Relationship Id="rId5" Type="http://schemas.openxmlformats.org/officeDocument/2006/relationships/hyperlink" Target="http://www.garant.ru/products/ipo/prime/doc/70323080/" TargetMode="External"/><Relationship Id="rId15" Type="http://schemas.openxmlformats.org/officeDocument/2006/relationships/hyperlink" Target="http://www.garant.ru/products/ipo/prime/doc/70323080/" TargetMode="External"/><Relationship Id="rId10" Type="http://schemas.openxmlformats.org/officeDocument/2006/relationships/hyperlink" Target="http://www.garant.ru/products/ipo/prime/doc/7032308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arant.ru/products/ipo/prime/doc/70323080/" TargetMode="External"/><Relationship Id="rId9" Type="http://schemas.openxmlformats.org/officeDocument/2006/relationships/hyperlink" Target="http://www.garant.ru/products/ipo/prime/doc/70323080/" TargetMode="External"/><Relationship Id="rId14" Type="http://schemas.openxmlformats.org/officeDocument/2006/relationships/hyperlink" Target="http://www.garant.ru/products/ipo/prime/doc/70323080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2016-05-19T07:01:00Z</cp:lastPrinted>
  <dcterms:created xsi:type="dcterms:W3CDTF">2016-04-26T08:03:00Z</dcterms:created>
  <dcterms:modified xsi:type="dcterms:W3CDTF">2016-09-19T13:19:00Z</dcterms:modified>
</cp:coreProperties>
</file>